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64639" w14:textId="77777777" w:rsidR="002246EE" w:rsidRDefault="002246EE" w:rsidP="003D634B">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财务工作</w:t>
      </w:r>
    </w:p>
    <w:p w14:paraId="42D0BCD1" w14:textId="77777777" w:rsidR="002246EE" w:rsidRDefault="002246EE" w:rsidP="003D634B">
      <w:pPr>
        <w:spacing w:line="560" w:lineRule="exact"/>
        <w:jc w:val="center"/>
        <w:rPr>
          <w:rFonts w:ascii="仿宋" w:eastAsia="仿宋" w:hAnsi="仿宋" w:cs="方正小标宋简体" w:hint="eastAsia"/>
          <w:sz w:val="44"/>
          <w:szCs w:val="44"/>
        </w:rPr>
      </w:pPr>
    </w:p>
    <w:p w14:paraId="5CE87C09" w14:textId="77777777" w:rsidR="002246EE" w:rsidRPr="003D634B" w:rsidRDefault="002246EE" w:rsidP="003D634B">
      <w:pPr>
        <w:autoSpaceDN w:val="0"/>
        <w:spacing w:line="560" w:lineRule="exact"/>
        <w:rPr>
          <w:rFonts w:ascii="仿宋" w:eastAsia="仿宋" w:hAnsi="仿宋" w:cs="仿宋" w:hint="eastAsia"/>
          <w:sz w:val="32"/>
          <w:szCs w:val="32"/>
        </w:rPr>
      </w:pPr>
      <w:r w:rsidRPr="003D634B">
        <w:rPr>
          <w:rFonts w:ascii="仿宋" w:eastAsia="仿宋" w:hAnsi="仿宋" w:cs="仿宋" w:hint="eastAsia"/>
          <w:sz w:val="32"/>
          <w:szCs w:val="32"/>
        </w:rPr>
        <w:t>【</w:t>
      </w:r>
      <w:r w:rsidRPr="003D634B">
        <w:rPr>
          <w:rFonts w:ascii="仿宋" w:eastAsia="仿宋" w:hAnsi="仿宋" w:cs="仿宋" w:hint="eastAsia"/>
          <w:b/>
          <w:bCs/>
          <w:sz w:val="32"/>
          <w:szCs w:val="32"/>
        </w:rPr>
        <w:t>概况</w:t>
      </w:r>
      <w:r w:rsidRPr="003D634B">
        <w:rPr>
          <w:rFonts w:ascii="仿宋" w:eastAsia="仿宋" w:hAnsi="仿宋" w:cs="仿宋" w:hint="eastAsia"/>
          <w:sz w:val="32"/>
          <w:szCs w:val="32"/>
        </w:rPr>
        <w:t>】</w:t>
      </w:r>
      <w:r w:rsidRPr="003D634B">
        <w:rPr>
          <w:rFonts w:ascii="仿宋" w:eastAsia="仿宋" w:hAnsi="仿宋" w:cs="仿宋_GB2312" w:hint="eastAsia"/>
          <w:sz w:val="32"/>
          <w:szCs w:val="32"/>
        </w:rPr>
        <w:t>2024年，在学校党委正确领导和机关党委具体指导下，学校财务深入学习贯彻党的二十届三中全会精神，充分认识当前财政形势规律和高校运行经济规律，抢抓教育强国建设和区域经济社会高质量发展机遇，聚焦学校第十五次党代会“一五七九”发展思路，坚持稳中求进、以</w:t>
      </w:r>
      <w:proofErr w:type="gramStart"/>
      <w:r w:rsidRPr="003D634B">
        <w:rPr>
          <w:rFonts w:ascii="仿宋" w:eastAsia="仿宋" w:hAnsi="仿宋" w:cs="仿宋_GB2312" w:hint="eastAsia"/>
          <w:sz w:val="32"/>
          <w:szCs w:val="32"/>
        </w:rPr>
        <w:t>进促稳</w:t>
      </w:r>
      <w:proofErr w:type="gramEnd"/>
      <w:r w:rsidRPr="003D634B">
        <w:rPr>
          <w:rFonts w:ascii="仿宋" w:eastAsia="仿宋" w:hAnsi="仿宋" w:cs="仿宋_GB2312" w:hint="eastAsia"/>
          <w:sz w:val="32"/>
          <w:szCs w:val="32"/>
        </w:rPr>
        <w:t>，更好统筹高质量发展与高水平安全，外抓政策红利，内求造血突破，深化配置改革，严守红线底线，加速财务转型，财务保障能力、治理能力、服务能力和防风险能力稳步提升，为推进学校事业发展“全面图强”、建设担当民族复兴大任的世界一流大学提供了坚实的财务支撑与保障。</w:t>
      </w:r>
    </w:p>
    <w:p w14:paraId="5DEB5B81" w14:textId="77777777" w:rsidR="002246EE" w:rsidRPr="003D634B" w:rsidRDefault="002246EE" w:rsidP="003D634B">
      <w:pPr>
        <w:autoSpaceDN w:val="0"/>
        <w:spacing w:line="560" w:lineRule="exact"/>
        <w:ind w:firstLineChars="200" w:firstLine="640"/>
        <w:rPr>
          <w:rFonts w:ascii="仿宋" w:eastAsia="仿宋" w:hAnsi="仿宋" w:cs="仿宋_GB2312" w:hint="eastAsia"/>
          <w:sz w:val="32"/>
          <w:szCs w:val="32"/>
        </w:rPr>
      </w:pPr>
      <w:r w:rsidRPr="003D634B">
        <w:rPr>
          <w:rFonts w:ascii="仿宋" w:eastAsia="仿宋" w:hAnsi="仿宋" w:cs="仿宋_GB2312" w:hint="eastAsia"/>
          <w:sz w:val="32"/>
          <w:szCs w:val="32"/>
        </w:rPr>
        <w:t>党建为引领，推进党建业务深度融合发展。一是筑牢“思想阵地”，以党的改革方针引领学校事业高质量发展。巩固拓展学习贯彻习近平新时代中国特色社会主义思想主题教育成果，高质量开展党纪教育学习，办好党纪教育读书班；充分用好“党组织示范微党课”理论媒介，采用组织集中轮训、分批分层学习等方式，学习贯彻习近平总书记在全国教育大会上的重要讲话精神和全国教育大会精神，全面把握党和国家教育、科技、人才一体发展对高校提出的新要求，贯彻落实学校第十五次党代会战略部署，着力构建高质量财务支撑保障体系。</w:t>
      </w:r>
      <w:bookmarkStart w:id="0" w:name="_Hlk186371538"/>
      <w:r w:rsidRPr="003D634B">
        <w:rPr>
          <w:rFonts w:ascii="仿宋" w:eastAsia="仿宋" w:hAnsi="仿宋" w:cs="仿宋_GB2312" w:hint="eastAsia"/>
          <w:sz w:val="32"/>
          <w:szCs w:val="32"/>
        </w:rPr>
        <w:t>二是建强“组织基地”，</w:t>
      </w:r>
      <w:bookmarkStart w:id="1" w:name="_Hlk186371476"/>
      <w:r w:rsidRPr="003D634B">
        <w:rPr>
          <w:rFonts w:ascii="仿宋" w:eastAsia="仿宋" w:hAnsi="仿宋" w:cs="仿宋_GB2312" w:hint="eastAsia"/>
          <w:sz w:val="32"/>
          <w:szCs w:val="32"/>
        </w:rPr>
        <w:t>以党的队伍建设逐步提升党总支凝聚力</w:t>
      </w:r>
      <w:bookmarkEnd w:id="1"/>
      <w:r w:rsidRPr="003D634B">
        <w:rPr>
          <w:rFonts w:ascii="仿宋" w:eastAsia="仿宋" w:hAnsi="仿宋" w:cs="仿宋_GB2312" w:hint="eastAsia"/>
          <w:sz w:val="32"/>
          <w:szCs w:val="32"/>
        </w:rPr>
        <w:t>。按照《中国共产党章程》与党内政治生活要求，圆满完成财务部党总支第一党支部、第二党支部</w:t>
      </w:r>
      <w:r w:rsidRPr="003D634B">
        <w:rPr>
          <w:rFonts w:ascii="仿宋" w:eastAsia="仿宋" w:hAnsi="仿宋" w:cs="仿宋_GB2312" w:hint="eastAsia"/>
          <w:sz w:val="32"/>
          <w:szCs w:val="32"/>
        </w:rPr>
        <w:lastRenderedPageBreak/>
        <w:t>换届选举工作，发展6名新生党员，通过支部力量迭代更新，为支部发展注入新鲜血液</w:t>
      </w:r>
      <w:bookmarkEnd w:id="0"/>
      <w:r w:rsidRPr="003D634B">
        <w:rPr>
          <w:rFonts w:ascii="仿宋" w:eastAsia="仿宋" w:hAnsi="仿宋" w:cs="仿宋_GB2312" w:hint="eastAsia"/>
          <w:sz w:val="32"/>
          <w:szCs w:val="32"/>
        </w:rPr>
        <w:t>；开展“财务服务之星”系列评选，选树一批在财务岗位上兢兢业业、任劳任怨的榜样力量，谱写财务人争优创先的奋斗之歌，进一步增强组织凝聚力与战斗力。</w:t>
      </w:r>
    </w:p>
    <w:p w14:paraId="292255D5" w14:textId="77777777" w:rsidR="002246EE" w:rsidRPr="003D634B" w:rsidRDefault="002246EE" w:rsidP="003D634B">
      <w:pPr>
        <w:autoSpaceDN w:val="0"/>
        <w:spacing w:line="560" w:lineRule="exact"/>
        <w:ind w:firstLineChars="200" w:firstLine="640"/>
        <w:rPr>
          <w:rFonts w:ascii="仿宋" w:eastAsia="仿宋" w:hAnsi="仿宋" w:cs="仿宋_GB2312" w:hint="eastAsia"/>
          <w:sz w:val="32"/>
          <w:szCs w:val="32"/>
        </w:rPr>
      </w:pPr>
      <w:r w:rsidRPr="003D634B">
        <w:rPr>
          <w:rFonts w:ascii="仿宋" w:eastAsia="仿宋" w:hAnsi="仿宋" w:cs="仿宋_GB2312" w:hint="eastAsia"/>
          <w:sz w:val="32"/>
          <w:szCs w:val="32"/>
        </w:rPr>
        <w:t>全局上谋事，夯实高质量发展财力保障根基。一是迎难而上拓展财力财源，切实增强财务统筹保障能力。在国家财政持续紧平衡的宏观形势下，学校财务逆势而上，顶压拼搏，千方百计拓展办学财力资源，多</w:t>
      </w:r>
      <w:proofErr w:type="gramStart"/>
      <w:r w:rsidRPr="003D634B">
        <w:rPr>
          <w:rFonts w:ascii="仿宋" w:eastAsia="仿宋" w:hAnsi="仿宋" w:cs="仿宋_GB2312" w:hint="eastAsia"/>
          <w:sz w:val="32"/>
          <w:szCs w:val="32"/>
        </w:rPr>
        <w:t>措</w:t>
      </w:r>
      <w:proofErr w:type="gramEnd"/>
      <w:r w:rsidRPr="003D634B">
        <w:rPr>
          <w:rFonts w:ascii="仿宋" w:eastAsia="仿宋" w:hAnsi="仿宋" w:cs="仿宋_GB2312" w:hint="eastAsia"/>
          <w:sz w:val="32"/>
          <w:szCs w:val="32"/>
        </w:rPr>
        <w:t>并举强化收入组织工作。吃透用足“两重一新”超长期国债等政策红利，超额实现中央财政拨款预算，积极争取山东省财政拨款收入，银校合作项目资金较上年大幅增长，为学校高质量发展和高水平安全提供坚实财力保障。二是乘势而为深化配置改革，更好发挥财务战略支撑作用。贯彻落实学校党委关于人财物和政策等资源优化改革的决策部署，</w:t>
      </w:r>
      <w:bookmarkStart w:id="2" w:name="_Hlk185240313"/>
      <w:r w:rsidRPr="003D634B">
        <w:rPr>
          <w:rFonts w:ascii="仿宋" w:eastAsia="仿宋" w:hAnsi="仿宋" w:cs="仿宋_GB2312" w:hint="eastAsia"/>
          <w:sz w:val="32"/>
          <w:szCs w:val="32"/>
        </w:rPr>
        <w:t>持续深化高质量发展财力资源配置改革，</w:t>
      </w:r>
      <w:bookmarkEnd w:id="2"/>
      <w:r w:rsidRPr="003D634B">
        <w:rPr>
          <w:rFonts w:ascii="仿宋" w:eastAsia="仿宋" w:hAnsi="仿宋" w:cs="仿宋_GB2312" w:hint="eastAsia"/>
          <w:sz w:val="32"/>
          <w:szCs w:val="32"/>
        </w:rPr>
        <w:t>强化国家重大战略任务和基本民生财力支撑。科学配置“双一流”人才、学科、科学研究等建设经费，强力支撑学科发展与人才队伍建设；兜牢民生与安全底线，强化民生保障与校园安全财力支撑，切实增强山大人的获得感与幸福感；利用“两重一新”（超长期国债）项目，支持楼宇建设、设备更新和科研能力提升，助</w:t>
      </w:r>
      <w:proofErr w:type="gramStart"/>
      <w:r w:rsidRPr="003D634B">
        <w:rPr>
          <w:rFonts w:ascii="仿宋" w:eastAsia="仿宋" w:hAnsi="仿宋" w:cs="仿宋_GB2312" w:hint="eastAsia"/>
          <w:sz w:val="32"/>
          <w:szCs w:val="32"/>
        </w:rPr>
        <w:t>推学校</w:t>
      </w:r>
      <w:proofErr w:type="gramEnd"/>
      <w:r w:rsidRPr="003D634B">
        <w:rPr>
          <w:rFonts w:ascii="仿宋" w:eastAsia="仿宋" w:hAnsi="仿宋" w:cs="仿宋_GB2312" w:hint="eastAsia"/>
          <w:sz w:val="32"/>
          <w:szCs w:val="32"/>
        </w:rPr>
        <w:t>事业发展稳健走好“上坡路”。</w:t>
      </w:r>
    </w:p>
    <w:p w14:paraId="25438A6C" w14:textId="70876741" w:rsidR="002246EE" w:rsidRPr="003D634B" w:rsidRDefault="002246EE" w:rsidP="003D634B">
      <w:pPr>
        <w:spacing w:line="560" w:lineRule="exact"/>
        <w:ind w:firstLineChars="200" w:firstLine="640"/>
        <w:rPr>
          <w:rFonts w:ascii="仿宋" w:eastAsia="仿宋" w:hAnsi="仿宋" w:cs="仿宋_GB2312" w:hint="eastAsia"/>
          <w:sz w:val="32"/>
          <w:szCs w:val="32"/>
        </w:rPr>
      </w:pPr>
      <w:r w:rsidRPr="003D634B">
        <w:rPr>
          <w:rFonts w:ascii="仿宋" w:eastAsia="仿宋" w:hAnsi="仿宋" w:cs="仿宋_GB2312" w:hint="eastAsia"/>
          <w:sz w:val="32"/>
          <w:szCs w:val="32"/>
        </w:rPr>
        <w:t>关键处落子，打响开源节流提质增效攻坚战。一是多</w:t>
      </w:r>
      <w:proofErr w:type="gramStart"/>
      <w:r w:rsidRPr="003D634B">
        <w:rPr>
          <w:rFonts w:ascii="仿宋" w:eastAsia="仿宋" w:hAnsi="仿宋" w:cs="仿宋_GB2312" w:hint="eastAsia"/>
          <w:sz w:val="32"/>
          <w:szCs w:val="32"/>
        </w:rPr>
        <w:t>措</w:t>
      </w:r>
      <w:proofErr w:type="gramEnd"/>
      <w:r w:rsidRPr="003D634B">
        <w:rPr>
          <w:rFonts w:ascii="仿宋" w:eastAsia="仿宋" w:hAnsi="仿宋" w:cs="仿宋_GB2312" w:hint="eastAsia"/>
          <w:sz w:val="32"/>
          <w:szCs w:val="32"/>
        </w:rPr>
        <w:t>并举，扎实做好开源节流“大文章”。牵头制定《山东大学</w:t>
      </w:r>
      <w:r w:rsidRPr="003D634B">
        <w:rPr>
          <w:rFonts w:ascii="仿宋" w:eastAsia="仿宋" w:hAnsi="仿宋" w:cs="仿宋_GB2312" w:hint="eastAsia"/>
          <w:sz w:val="32"/>
          <w:szCs w:val="32"/>
        </w:rPr>
        <w:lastRenderedPageBreak/>
        <w:t>“开源节流、提质增效”工作方案》，前瞻谋划关键收入拓展计划和重点支出提质增效；开展“应收尽收、颗粒归仓”行动，摸清收入底数，防范“跑冒滴漏”，建立健全收入管理长效机制；形成《山东大学经济绩效激励工作方案（讨论稿）》，以经济绩效为抓手，充分发挥绩效的指挥激励作用，调动全校上下拓收节支、提质增效的积极性。二是夯基筑垒，揭示高校运行“经济规律”。基于大数据分析，研究探索高校层面统筹推进“教育、科技、人才”背后的经济规律，开展内部造血机能底层逻辑分析，尝试绘制二级单位投入产出的财务画像，不仅管好“钱袋子”，更要用好“脑瓜子”，营造“人（才）”与“财”互相成就的良好局面，为学校办教育、兴科技、育人才提供强大参谋服务和精准数据支持。</w:t>
      </w:r>
    </w:p>
    <w:p w14:paraId="2B2213FF" w14:textId="77777777" w:rsidR="002246EE" w:rsidRPr="003D634B" w:rsidRDefault="002246EE" w:rsidP="002044FA">
      <w:pPr>
        <w:autoSpaceDN w:val="0"/>
        <w:spacing w:line="560" w:lineRule="exact"/>
        <w:ind w:firstLineChars="200" w:firstLine="640"/>
        <w:rPr>
          <w:rFonts w:ascii="仿宋" w:eastAsia="仿宋" w:hAnsi="仿宋" w:cs="仿宋_GB2312" w:hint="eastAsia"/>
          <w:sz w:val="32"/>
          <w:szCs w:val="32"/>
        </w:rPr>
      </w:pPr>
      <w:r w:rsidRPr="003D634B">
        <w:rPr>
          <w:rFonts w:ascii="仿宋" w:eastAsia="仿宋" w:hAnsi="仿宋" w:cs="仿宋_GB2312" w:hint="eastAsia"/>
          <w:sz w:val="32"/>
          <w:szCs w:val="32"/>
        </w:rPr>
        <w:t>风险点聚焦，守</w:t>
      </w:r>
      <w:proofErr w:type="gramStart"/>
      <w:r w:rsidRPr="003D634B">
        <w:rPr>
          <w:rFonts w:ascii="仿宋" w:eastAsia="仿宋" w:hAnsi="仿宋" w:cs="仿宋_GB2312" w:hint="eastAsia"/>
          <w:sz w:val="32"/>
          <w:szCs w:val="32"/>
        </w:rPr>
        <w:t>牢事业安全发展</w:t>
      </w:r>
      <w:proofErr w:type="gramEnd"/>
      <w:r w:rsidRPr="003D634B">
        <w:rPr>
          <w:rFonts w:ascii="仿宋" w:eastAsia="仿宋" w:hAnsi="仿宋" w:cs="仿宋_GB2312" w:hint="eastAsia"/>
          <w:sz w:val="32"/>
          <w:szCs w:val="32"/>
        </w:rPr>
        <w:t>底线红线。一是加强财会监督，完善内控建设，强化财务</w:t>
      </w:r>
      <w:proofErr w:type="gramStart"/>
      <w:r w:rsidRPr="003D634B">
        <w:rPr>
          <w:rFonts w:ascii="仿宋" w:eastAsia="仿宋" w:hAnsi="仿宋" w:cs="仿宋_GB2312" w:hint="eastAsia"/>
          <w:sz w:val="32"/>
          <w:szCs w:val="32"/>
        </w:rPr>
        <w:t>安全红</w:t>
      </w:r>
      <w:proofErr w:type="gramEnd"/>
      <w:r w:rsidRPr="003D634B">
        <w:rPr>
          <w:rFonts w:ascii="仿宋" w:eastAsia="仿宋" w:hAnsi="仿宋" w:cs="仿宋_GB2312" w:hint="eastAsia"/>
          <w:sz w:val="32"/>
          <w:szCs w:val="32"/>
        </w:rPr>
        <w:t>线。内控建设与财会监督同向发力、双向推进，出台《山东大学关于进一步加强财会监督工作的实施方案》，构建学校财会监督体系，推进财会监督工作落实落地；以中央预算一体化系统为依托，实现会计信息质量持续提升；高质量完成学校2023年度内控报告编报和现场质量核查，内部控制手册优化更新稳步推进；制定《招标采购管理内部操作规范》，固化采购业务各环节规程，提高招</w:t>
      </w:r>
      <w:proofErr w:type="gramStart"/>
      <w:r w:rsidRPr="003D634B">
        <w:rPr>
          <w:rFonts w:ascii="仿宋" w:eastAsia="仿宋" w:hAnsi="仿宋" w:cs="仿宋_GB2312" w:hint="eastAsia"/>
          <w:sz w:val="32"/>
          <w:szCs w:val="32"/>
        </w:rPr>
        <w:t>采管理</w:t>
      </w:r>
      <w:proofErr w:type="gramEnd"/>
      <w:r w:rsidRPr="003D634B">
        <w:rPr>
          <w:rFonts w:ascii="仿宋" w:eastAsia="仿宋" w:hAnsi="仿宋" w:cs="仿宋_GB2312" w:hint="eastAsia"/>
          <w:sz w:val="32"/>
          <w:szCs w:val="32"/>
        </w:rPr>
        <w:t>标准化水平。</w:t>
      </w:r>
      <w:r w:rsidRPr="003D634B">
        <w:rPr>
          <w:rFonts w:ascii="仿宋" w:eastAsia="仿宋" w:cs="仿宋_GB2312" w:hint="eastAsia"/>
          <w:sz w:val="32"/>
          <w:szCs w:val="32"/>
        </w:rPr>
        <w:t>二是</w:t>
      </w:r>
      <w:r w:rsidRPr="003D634B">
        <w:rPr>
          <w:rFonts w:ascii="仿宋" w:eastAsia="仿宋" w:hAnsi="仿宋" w:cs="仿宋_GB2312" w:hint="eastAsia"/>
          <w:sz w:val="32"/>
          <w:szCs w:val="32"/>
        </w:rPr>
        <w:t>狠抓预算执行，强化资金调度，坚守资金安全底线。高频次调度预算执行分析，及时掌握收支落实情况，狠抓执行、强抓落实、巧抓指标，督促各预算单位加快预算执行和绩效目标落实。紧盯存量资</w:t>
      </w:r>
      <w:r w:rsidRPr="003D634B">
        <w:rPr>
          <w:rFonts w:ascii="仿宋" w:eastAsia="仿宋" w:hAnsi="仿宋" w:cs="仿宋_GB2312" w:hint="eastAsia"/>
          <w:sz w:val="32"/>
          <w:szCs w:val="32"/>
        </w:rPr>
        <w:lastRenderedPageBreak/>
        <w:t>金规模，实施资金余额监控，结合预算安排和执行进度等联动计算、科学预测，采用“日监控、周分析、月调度”模式，有序开展资金调度，调整优化财务支出结构，规范财力拨付秩序，为学校事业发展提供安全稳定的资金保障。</w:t>
      </w:r>
    </w:p>
    <w:p w14:paraId="5565F168" w14:textId="77777777" w:rsidR="002246EE" w:rsidRPr="003D634B" w:rsidRDefault="002246EE" w:rsidP="003D634B">
      <w:pPr>
        <w:spacing w:line="560" w:lineRule="exact"/>
        <w:ind w:firstLineChars="200" w:firstLine="640"/>
        <w:rPr>
          <w:rFonts w:ascii="仿宋" w:eastAsia="仿宋" w:hAnsi="仿宋" w:cs="仿宋_GB2312" w:hint="eastAsia"/>
          <w:sz w:val="32"/>
          <w:szCs w:val="32"/>
        </w:rPr>
      </w:pPr>
      <w:r w:rsidRPr="003D634B">
        <w:rPr>
          <w:rFonts w:ascii="仿宋" w:eastAsia="仿宋" w:hAnsi="仿宋" w:cs="仿宋_GB2312" w:hint="eastAsia"/>
          <w:sz w:val="32"/>
          <w:szCs w:val="32"/>
        </w:rPr>
        <w:t>变局中发力，全力彰显财务管理服务新效能。一是秉持匠心精神，落实服务实事增福祉。在业务量逐年攀升的情况下，高质高效完成日常服务任务，2024年度一校三地核算报销、招标采购等业务量均再创历史新高。聚焦新业务新制度新精神，开展走访调研和宣传培训，健全学院财务分管领导联络机制和财务部领导班子联系部门学院机制，对内建强财务联络员、综合预算专员队伍，对外用好财务专员、科研财务助理队伍，切实为师生医务员工办实事、解难题，以实际行动积极打造财务服务新生态体系。二是借</w:t>
      </w:r>
      <w:proofErr w:type="gramStart"/>
      <w:r w:rsidRPr="003D634B">
        <w:rPr>
          <w:rFonts w:ascii="仿宋" w:eastAsia="仿宋" w:hAnsi="仿宋" w:cs="仿宋_GB2312" w:hint="eastAsia"/>
          <w:sz w:val="32"/>
          <w:szCs w:val="32"/>
        </w:rPr>
        <w:t>力数智</w:t>
      </w:r>
      <w:proofErr w:type="gramEnd"/>
      <w:r w:rsidRPr="003D634B">
        <w:rPr>
          <w:rFonts w:ascii="仿宋" w:eastAsia="仿宋" w:hAnsi="仿宋" w:cs="仿宋_GB2312" w:hint="eastAsia"/>
          <w:sz w:val="32"/>
          <w:szCs w:val="32"/>
        </w:rPr>
        <w:t>手段，打造财务服务新生态。深耕财务信息化建设，全图景的智能财务平台日趋完善，大力推进收入结算管理平台建设，增强对各类收费业务的有效管理，上线票据管理服务平台，实现票据全生命周期可视化管理，完成采购系统升级优化，实现校本部和青岛校区采购网址和系统“双统一”，持续完善智能报销和差旅平台，财务数字化改革与智能化转型扎实推进，通过数据赋能精准响应师生关切，让每一份诉求都有数可依、有据可循。</w:t>
      </w:r>
    </w:p>
    <w:p w14:paraId="42EAFF78" w14:textId="77777777" w:rsidR="002246EE" w:rsidRPr="003D634B" w:rsidRDefault="002246EE" w:rsidP="003D634B">
      <w:pPr>
        <w:spacing w:line="560" w:lineRule="exact"/>
        <w:ind w:firstLineChars="200" w:firstLine="640"/>
        <w:jc w:val="right"/>
        <w:rPr>
          <w:rFonts w:ascii="仿宋" w:eastAsia="仿宋" w:hAnsi="仿宋" w:cs="方正仿宋_GB2312" w:hint="eastAsia"/>
          <w:sz w:val="32"/>
          <w:szCs w:val="32"/>
        </w:rPr>
      </w:pPr>
      <w:r w:rsidRPr="003D634B">
        <w:rPr>
          <w:rFonts w:ascii="仿宋" w:eastAsia="仿宋" w:hAnsi="仿宋" w:cs="方正仿宋_GB2312" w:hint="eastAsia"/>
          <w:sz w:val="32"/>
          <w:szCs w:val="32"/>
        </w:rPr>
        <w:t>（魏龙华  管文卿）</w:t>
      </w:r>
    </w:p>
    <w:p w14:paraId="4C576C85" w14:textId="77777777" w:rsidR="002246EE" w:rsidRPr="003D634B" w:rsidRDefault="002246EE" w:rsidP="003D634B">
      <w:pPr>
        <w:spacing w:line="560" w:lineRule="exact"/>
        <w:ind w:firstLineChars="200" w:firstLine="640"/>
        <w:jc w:val="right"/>
        <w:rPr>
          <w:rFonts w:ascii="仿宋" w:eastAsia="仿宋" w:hAnsi="仿宋" w:cs="方正仿宋_GB2312" w:hint="eastAsia"/>
          <w:sz w:val="32"/>
          <w:szCs w:val="32"/>
        </w:rPr>
      </w:pPr>
    </w:p>
    <w:p w14:paraId="50EB008F" w14:textId="77777777" w:rsidR="002246EE" w:rsidRPr="003D634B" w:rsidRDefault="002246EE" w:rsidP="003D634B">
      <w:pPr>
        <w:spacing w:line="560" w:lineRule="exact"/>
        <w:rPr>
          <w:rFonts w:ascii="仿宋" w:eastAsia="仿宋" w:hAnsi="仿宋" w:cs="方正仿宋_GB2312" w:hint="eastAsia"/>
          <w:sz w:val="32"/>
          <w:szCs w:val="32"/>
        </w:rPr>
      </w:pPr>
      <w:r w:rsidRPr="003D634B">
        <w:rPr>
          <w:rFonts w:ascii="仿宋" w:eastAsia="仿宋" w:hAnsi="仿宋" w:cs="方正仿宋_GB2312" w:hint="eastAsia"/>
          <w:sz w:val="32"/>
          <w:szCs w:val="32"/>
          <w:lang w:eastAsia="zh-Hans"/>
        </w:rPr>
        <w:t>【</w:t>
      </w:r>
      <w:r w:rsidRPr="003D634B">
        <w:rPr>
          <w:rFonts w:ascii="仿宋" w:eastAsia="仿宋" w:hAnsi="仿宋" w:cs="方正仿宋_GB2312" w:hint="eastAsia"/>
          <w:b/>
          <w:bCs/>
          <w:sz w:val="32"/>
          <w:szCs w:val="32"/>
          <w:lang w:eastAsia="zh-Hans"/>
        </w:rPr>
        <w:t>深化一校三地财务融合发展进程</w:t>
      </w:r>
      <w:r w:rsidRPr="003D634B">
        <w:rPr>
          <w:rFonts w:ascii="仿宋" w:eastAsia="仿宋" w:hAnsi="仿宋" w:cs="方正仿宋_GB2312" w:hint="eastAsia"/>
          <w:sz w:val="32"/>
          <w:szCs w:val="32"/>
          <w:lang w:eastAsia="zh-Hans"/>
        </w:rPr>
        <w:t>】坚持“一盘棋”思维，</w:t>
      </w:r>
      <w:r w:rsidRPr="003D634B">
        <w:rPr>
          <w:rFonts w:ascii="仿宋" w:eastAsia="仿宋" w:hAnsi="仿宋" w:cs="方正仿宋_GB2312" w:hint="eastAsia"/>
          <w:sz w:val="32"/>
          <w:szCs w:val="32"/>
          <w:lang w:eastAsia="zh-Hans"/>
        </w:rPr>
        <w:lastRenderedPageBreak/>
        <w:t>坚持一体推进，深入落实威海校区“两筹”意见和青岛校区一体预算安排，强化校区资源统筹与政策协同；实现三地招标平台一体集成，完成一校三地校园物业与安保服务招标，完善与一体化战略相适应的招采管理模式；优化跨校区资金调度管理，筑牢一校三地财务资金安全防线；加强一校三地轮岗交流、参训调研，切实增强“同一个山大”的认同感。</w:t>
      </w:r>
    </w:p>
    <w:p w14:paraId="62814A69" w14:textId="77777777" w:rsidR="002246EE" w:rsidRPr="003D634B" w:rsidRDefault="002246EE" w:rsidP="003D634B">
      <w:pPr>
        <w:spacing w:line="560" w:lineRule="exact"/>
        <w:ind w:firstLineChars="200" w:firstLine="640"/>
        <w:jc w:val="right"/>
        <w:rPr>
          <w:rFonts w:ascii="仿宋" w:eastAsia="仿宋" w:hAnsi="仿宋" w:cs="方正仿宋_GB2312" w:hint="eastAsia"/>
          <w:sz w:val="32"/>
          <w:szCs w:val="32"/>
        </w:rPr>
      </w:pPr>
      <w:r w:rsidRPr="003D634B">
        <w:rPr>
          <w:rFonts w:ascii="仿宋" w:eastAsia="仿宋" w:hAnsi="仿宋" w:cs="方正仿宋_GB2312" w:hint="eastAsia"/>
          <w:sz w:val="32"/>
          <w:szCs w:val="32"/>
        </w:rPr>
        <w:t>（魏龙华  管文卿）</w:t>
      </w:r>
    </w:p>
    <w:p w14:paraId="15107D88" w14:textId="77777777" w:rsidR="002246EE" w:rsidRDefault="002246EE" w:rsidP="003D634B">
      <w:pPr>
        <w:spacing w:line="560" w:lineRule="exact"/>
        <w:ind w:firstLineChars="200" w:firstLine="420"/>
        <w:jc w:val="right"/>
        <w:rPr>
          <w:rFonts w:ascii="仿宋" w:eastAsia="仿宋" w:hAnsi="仿宋" w:cs="方正仿宋_GB2312" w:hint="eastAsia"/>
          <w:szCs w:val="28"/>
        </w:rPr>
      </w:pPr>
    </w:p>
    <w:sectPr w:rsidR="002246E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C3CD1" w14:textId="77777777" w:rsidR="00353987" w:rsidRDefault="00353987" w:rsidP="00830B6A">
      <w:r>
        <w:separator/>
      </w:r>
    </w:p>
  </w:endnote>
  <w:endnote w:type="continuationSeparator" w:id="0">
    <w:p w14:paraId="1D3AAD93" w14:textId="77777777" w:rsidR="00353987" w:rsidRDefault="00353987" w:rsidP="00830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96612597-B512-4B21-9B76-3FDB07ED4EF3}"/>
  </w:font>
  <w:font w:name="方正小标宋简体">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embedRegular r:id="rId2" w:subsetted="1" w:fontKey="{FD95F644-EBD7-46F6-B52E-DAAFF60B5C0F}"/>
    <w:embedBold r:id="rId3" w:subsetted="1" w:fontKey="{98AB0277-4784-45F4-9999-FE08E55236D8}"/>
  </w:font>
  <w:font w:name="仿宋_GB2312">
    <w:altName w:val="仿宋"/>
    <w:panose1 w:val="02010609030101010101"/>
    <w:charset w:val="86"/>
    <w:family w:val="modern"/>
    <w:pitch w:val="fixed"/>
    <w:sig w:usb0="00000001" w:usb1="080E0000" w:usb2="00000010" w:usb3="00000000" w:csb0="00040000" w:csb1="00000000"/>
  </w:font>
  <w:font w:name="方正仿宋_GB2312">
    <w:charset w:val="86"/>
    <w:family w:val="auto"/>
    <w:pitch w:val="default"/>
    <w:sig w:usb0="A00002BF" w:usb1="184F6CFA" w:usb2="00000012"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0351211"/>
      <w:docPartObj>
        <w:docPartGallery w:val="Page Numbers (Bottom of Page)"/>
        <w:docPartUnique/>
      </w:docPartObj>
    </w:sdtPr>
    <w:sdtContent>
      <w:p w14:paraId="27033D41" w14:textId="54BB7A89" w:rsidR="00830B6A" w:rsidRDefault="00830B6A">
        <w:pPr>
          <w:pStyle w:val="a3"/>
          <w:jc w:val="center"/>
        </w:pPr>
        <w:r>
          <w:fldChar w:fldCharType="begin"/>
        </w:r>
        <w:r>
          <w:instrText>PAGE   \* MERGEFORMAT</w:instrText>
        </w:r>
        <w:r>
          <w:fldChar w:fldCharType="separate"/>
        </w:r>
        <w:r>
          <w:rPr>
            <w:lang w:val="zh-CN"/>
          </w:rPr>
          <w:t>2</w:t>
        </w:r>
        <w:r>
          <w:fldChar w:fldCharType="end"/>
        </w:r>
      </w:p>
    </w:sdtContent>
  </w:sdt>
  <w:p w14:paraId="611763FE" w14:textId="77777777" w:rsidR="00830B6A" w:rsidRDefault="00830B6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27A06" w14:textId="77777777" w:rsidR="00353987" w:rsidRDefault="00353987" w:rsidP="00830B6A">
      <w:r>
        <w:separator/>
      </w:r>
    </w:p>
  </w:footnote>
  <w:footnote w:type="continuationSeparator" w:id="0">
    <w:p w14:paraId="682844DF" w14:textId="77777777" w:rsidR="00353987" w:rsidRDefault="00353987" w:rsidP="00830B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EzZGJkY2NmNWE5MGMyMTdiYWU0MDM3YmM5NTViMWUifQ=="/>
  </w:docVars>
  <w:rsids>
    <w:rsidRoot w:val="53B169F7"/>
    <w:rsid w:val="000E487E"/>
    <w:rsid w:val="001319A2"/>
    <w:rsid w:val="00176C40"/>
    <w:rsid w:val="00194B33"/>
    <w:rsid w:val="002044FA"/>
    <w:rsid w:val="002246EE"/>
    <w:rsid w:val="00353987"/>
    <w:rsid w:val="003541F6"/>
    <w:rsid w:val="003D634B"/>
    <w:rsid w:val="00476F61"/>
    <w:rsid w:val="004E5AC2"/>
    <w:rsid w:val="004F5AF9"/>
    <w:rsid w:val="005C5170"/>
    <w:rsid w:val="005E38FA"/>
    <w:rsid w:val="00603B49"/>
    <w:rsid w:val="00643DA6"/>
    <w:rsid w:val="006D5CFA"/>
    <w:rsid w:val="00745F46"/>
    <w:rsid w:val="007655DB"/>
    <w:rsid w:val="00830B6A"/>
    <w:rsid w:val="008B1DA7"/>
    <w:rsid w:val="009315BD"/>
    <w:rsid w:val="0095351F"/>
    <w:rsid w:val="00BB619E"/>
    <w:rsid w:val="00CB30AA"/>
    <w:rsid w:val="00D32365"/>
    <w:rsid w:val="00FD3A0B"/>
    <w:rsid w:val="086770F3"/>
    <w:rsid w:val="30CC5566"/>
    <w:rsid w:val="47CE69DC"/>
    <w:rsid w:val="499B0593"/>
    <w:rsid w:val="53B169F7"/>
    <w:rsid w:val="7BE42B51"/>
    <w:rsid w:val="7CD12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A7265"/>
  <w15:docId w15:val="{5C873DA0-158F-40D7-925C-9676BCD59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paragraph" w:styleId="a7">
    <w:name w:val="header"/>
    <w:basedOn w:val="a"/>
    <w:link w:val="a8"/>
    <w:rsid w:val="00830B6A"/>
    <w:pPr>
      <w:tabs>
        <w:tab w:val="center" w:pos="4153"/>
        <w:tab w:val="right" w:pos="8306"/>
      </w:tabs>
      <w:snapToGrid w:val="0"/>
      <w:jc w:val="center"/>
    </w:pPr>
    <w:rPr>
      <w:sz w:val="18"/>
      <w:szCs w:val="18"/>
    </w:rPr>
  </w:style>
  <w:style w:type="character" w:customStyle="1" w:styleId="a8">
    <w:name w:val="页眉 字符"/>
    <w:basedOn w:val="a0"/>
    <w:link w:val="a7"/>
    <w:rsid w:val="00830B6A"/>
    <w:rPr>
      <w:rFonts w:asciiTheme="minorHAnsi" w:eastAsiaTheme="minorEastAsia" w:hAnsiTheme="minorHAnsi" w:cstheme="minorBidi"/>
      <w:kern w:val="2"/>
      <w:sz w:val="18"/>
      <w:szCs w:val="18"/>
    </w:rPr>
  </w:style>
  <w:style w:type="character" w:customStyle="1" w:styleId="a4">
    <w:name w:val="页脚 字符"/>
    <w:basedOn w:val="a0"/>
    <w:link w:val="a3"/>
    <w:uiPriority w:val="99"/>
    <w:rsid w:val="00830B6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5</Pages>
  <Words>375</Words>
  <Characters>2140</Characters>
  <Application>Microsoft Office Word</Application>
  <DocSecurity>0</DocSecurity>
  <Lines>17</Lines>
  <Paragraphs>5</Paragraphs>
  <ScaleCrop>false</ScaleCrop>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归海逸风</dc:creator>
  <cp:lastModifiedBy>lenovo</cp:lastModifiedBy>
  <cp:revision>16</cp:revision>
  <dcterms:created xsi:type="dcterms:W3CDTF">2025-03-12T04:22:00Z</dcterms:created>
  <dcterms:modified xsi:type="dcterms:W3CDTF">2026-02-27T03:00:00Z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226C95922F5D4AABB4E46EAAB82F5877_13</vt:lpwstr>
  </property>
  <property fmtid="{D5CDD505-2E9C-101B-9397-08002B2CF9AE}" pid="4" name="KSOTemplateDocerSaveRecord">
    <vt:lpwstr>eyJoZGlkIjoiZjViZDAwYWRiZWNkNTRkMTU4ZmIwMDk0MGVhNGMxYTkiLCJ1c2VySWQiOiI0NTAxNzAzMDYifQ==</vt:lpwstr>
  </property>
</Properties>
</file>